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AE31C" w14:textId="00E48AD4" w:rsidR="00E4690C" w:rsidRDefault="00E4690C" w:rsidP="00E4690C">
      <w:pPr>
        <w:jc w:val="both"/>
      </w:pPr>
    </w:p>
    <w:p w14:paraId="7117A134" w14:textId="77777777" w:rsidR="00E4690C" w:rsidRPr="00BA214F" w:rsidRDefault="00E4690C" w:rsidP="00E4690C">
      <w:pPr>
        <w:jc w:val="both"/>
      </w:pPr>
    </w:p>
    <w:p w14:paraId="0417B47C" w14:textId="77777777" w:rsidR="00A86E40" w:rsidRDefault="00A86E40" w:rsidP="00A86E40">
      <w:pPr>
        <w:pStyle w:val="MDPI62BackMatter"/>
        <w:spacing w:before="240" w:line="276" w:lineRule="auto"/>
        <w:ind w:left="0"/>
        <w:rPr>
          <w:sz w:val="20"/>
        </w:rPr>
      </w:pPr>
    </w:p>
    <w:p w14:paraId="1B255C49" w14:textId="70D22AA6" w:rsidR="00A86E40" w:rsidRDefault="00A86E40" w:rsidP="00A86E40">
      <w:pPr>
        <w:pStyle w:val="MDPI62BackMatter"/>
        <w:spacing w:before="240" w:line="276" w:lineRule="auto"/>
        <w:ind w:left="0"/>
        <w:rPr>
          <w:sz w:val="20"/>
        </w:rPr>
      </w:pPr>
      <w:r w:rsidRPr="00A86E40">
        <w:rPr>
          <w:b/>
          <w:bCs/>
          <w:sz w:val="20"/>
        </w:rPr>
        <w:t>Figure S1.</w:t>
      </w:r>
      <w:r w:rsidRPr="000E1F0C">
        <w:rPr>
          <w:sz w:val="20"/>
        </w:rPr>
        <w:t xml:space="preserve"> SOM neighbor distant plot of non-neoplastic diseases based on the similarity of their overlap with chemically sensitive KEGG pathways. </w:t>
      </w:r>
    </w:p>
    <w:p w14:paraId="64375B7F" w14:textId="406C7084" w:rsidR="00A86E40" w:rsidRDefault="00A86E40" w:rsidP="00A86E40">
      <w:pPr>
        <w:pStyle w:val="MDPI62BackMatter"/>
        <w:spacing w:before="240" w:line="276" w:lineRule="auto"/>
        <w:ind w:left="0"/>
        <w:rPr>
          <w:sz w:val="20"/>
        </w:rPr>
      </w:pPr>
      <w:r w:rsidRPr="00CC3EB1">
        <w:rPr>
          <w:noProof/>
        </w:rPr>
        <w:drawing>
          <wp:inline distT="0" distB="0" distL="0" distR="0" wp14:anchorId="501B5ED0" wp14:editId="0266E504">
            <wp:extent cx="5943600" cy="5163565"/>
            <wp:effectExtent l="0" t="0" r="0" b="5715"/>
            <wp:docPr id="2" name="Picture 2" descr="Chart, bubbl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bubble char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047CB" w14:textId="39352B4F" w:rsidR="00E4690C" w:rsidRDefault="00E4690C" w:rsidP="00E4690C">
      <w:pPr>
        <w:jc w:val="both"/>
      </w:pPr>
    </w:p>
    <w:p w14:paraId="47CB524F" w14:textId="5E218E05" w:rsidR="00A86E40" w:rsidRDefault="00A86E40" w:rsidP="00E4690C">
      <w:pPr>
        <w:jc w:val="both"/>
      </w:pPr>
    </w:p>
    <w:p w14:paraId="4852302E" w14:textId="140F30CD" w:rsidR="00A86E40" w:rsidRDefault="00A86E40" w:rsidP="00E4690C">
      <w:pPr>
        <w:jc w:val="both"/>
      </w:pPr>
    </w:p>
    <w:p w14:paraId="25CFE504" w14:textId="33919B4D" w:rsidR="00A86E40" w:rsidRDefault="00A86E40" w:rsidP="00E4690C">
      <w:pPr>
        <w:jc w:val="both"/>
      </w:pPr>
    </w:p>
    <w:p w14:paraId="73FFB26F" w14:textId="336D47E2" w:rsidR="00A86E40" w:rsidRDefault="00A86E40" w:rsidP="00E4690C">
      <w:pPr>
        <w:jc w:val="both"/>
      </w:pPr>
    </w:p>
    <w:p w14:paraId="026B70D0" w14:textId="6ED38884" w:rsidR="00A86E40" w:rsidRDefault="00A86E40" w:rsidP="00E4690C">
      <w:pPr>
        <w:jc w:val="both"/>
      </w:pPr>
    </w:p>
    <w:p w14:paraId="44292F8F" w14:textId="7B12583D" w:rsidR="00A86E40" w:rsidRDefault="00A86E40" w:rsidP="00E4690C">
      <w:pPr>
        <w:jc w:val="both"/>
      </w:pPr>
    </w:p>
    <w:p w14:paraId="0DA0E732" w14:textId="2BEFD00E" w:rsidR="00A86E40" w:rsidRDefault="00A86E40" w:rsidP="00A86E40">
      <w:pPr>
        <w:pStyle w:val="MDPI62BackMatter"/>
        <w:spacing w:before="240" w:line="276" w:lineRule="auto"/>
        <w:ind w:left="0"/>
        <w:rPr>
          <w:sz w:val="20"/>
        </w:rPr>
      </w:pPr>
      <w:r w:rsidRPr="00A86E40">
        <w:rPr>
          <w:b/>
          <w:bCs/>
          <w:sz w:val="20"/>
        </w:rPr>
        <w:lastRenderedPageBreak/>
        <w:t>Figure S</w:t>
      </w:r>
      <w:r w:rsidRPr="00A86E40">
        <w:rPr>
          <w:b/>
          <w:bCs/>
          <w:sz w:val="20"/>
        </w:rPr>
        <w:t>2</w:t>
      </w:r>
      <w:r w:rsidRPr="00A86E40">
        <w:rPr>
          <w:b/>
          <w:bCs/>
          <w:sz w:val="20"/>
        </w:rPr>
        <w:t>.</w:t>
      </w:r>
      <w:r w:rsidRPr="000E1F0C">
        <w:rPr>
          <w:sz w:val="20"/>
        </w:rPr>
        <w:t xml:space="preserve"> </w:t>
      </w:r>
      <w:r>
        <w:rPr>
          <w:sz w:val="20"/>
        </w:rPr>
        <w:t>H</w:t>
      </w:r>
      <w:r w:rsidRPr="000E1F0C">
        <w:rPr>
          <w:sz w:val="20"/>
        </w:rPr>
        <w:t xml:space="preserve">ierarchical clustering of non-neoplastic diseases based on the similarity of their overlap with chemically sensitive KEGG pathways. </w:t>
      </w:r>
    </w:p>
    <w:p w14:paraId="09D00D75" w14:textId="77777777" w:rsidR="00A86E40" w:rsidRDefault="00A86E40" w:rsidP="00E4690C">
      <w:pPr>
        <w:jc w:val="both"/>
      </w:pPr>
    </w:p>
    <w:p w14:paraId="641F12FB" w14:textId="77777777" w:rsidR="00E4690C" w:rsidRDefault="00E4690C" w:rsidP="00E4690C">
      <w:pPr>
        <w:jc w:val="both"/>
      </w:pPr>
      <w:r w:rsidRPr="00490CC6">
        <w:rPr>
          <w:noProof/>
        </w:rPr>
        <w:drawing>
          <wp:inline distT="0" distB="0" distL="0" distR="0" wp14:anchorId="2CE9C505" wp14:editId="531E5D72">
            <wp:extent cx="5903977" cy="3406140"/>
            <wp:effectExtent l="0" t="0" r="1905" b="0"/>
            <wp:docPr id="27" name="Picture 27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picture containing diagram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1239" cy="344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0D22F" w14:textId="77777777" w:rsidR="000748C8" w:rsidRDefault="000748C8"/>
    <w:sectPr w:rsidR="000748C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690C"/>
    <w:rsid w:val="000748C8"/>
    <w:rsid w:val="003C600D"/>
    <w:rsid w:val="0094141E"/>
    <w:rsid w:val="00A86E40"/>
    <w:rsid w:val="00E4690C"/>
    <w:rsid w:val="00FF2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1823F7A"/>
  <w15:chartTrackingRefBased/>
  <w15:docId w15:val="{2C47FA25-0F83-A347-A879-477227201D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690C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A86E40"/>
    <w:rPr>
      <w:color w:val="0000FF"/>
      <w:u w:val="single"/>
    </w:rPr>
  </w:style>
  <w:style w:type="paragraph" w:customStyle="1" w:styleId="MDPI62BackMatter">
    <w:name w:val="MDPI_6.2_BackMatter"/>
    <w:qFormat/>
    <w:rsid w:val="00A86E40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</Words>
  <Characters>263</Characters>
  <Application>Microsoft Office Word</Application>
  <DocSecurity>0</DocSecurity>
  <Lines>2</Lines>
  <Paragraphs>1</Paragraphs>
  <ScaleCrop>false</ScaleCrop>
  <Company/>
  <LinksUpToDate>false</LinksUpToDate>
  <CharactersWithSpaces>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Olatunbosun Arowolo</dc:creator>
  <cp:keywords/>
  <dc:description/>
  <cp:lastModifiedBy>Alexander Suvorov</cp:lastModifiedBy>
  <cp:revision>2</cp:revision>
  <dcterms:created xsi:type="dcterms:W3CDTF">2022-10-04T15:24:00Z</dcterms:created>
  <dcterms:modified xsi:type="dcterms:W3CDTF">2022-10-04T15:24:00Z</dcterms:modified>
</cp:coreProperties>
</file>